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668F" w:rsidRPr="00282C31" w14:paraId="388A4AF7" w14:textId="77777777" w:rsidTr="005502F4">
        <w:trPr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7668F" w:rsidRPr="00282C31" w14:paraId="632477AA" w14:textId="77777777" w:rsidTr="005502F4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p w14:paraId="3F398CC4" w14:textId="77777777" w:rsidR="0047668F" w:rsidRPr="00282C31" w:rsidRDefault="0047668F" w:rsidP="005502F4">
                  <w:pPr>
                    <w:spacing w:line="360" w:lineRule="auto"/>
                    <w:jc w:val="both"/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</w:pP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Monsieur le Procureur général</w:t>
                  </w:r>
                </w:p>
                <w:p w14:paraId="1DDA0DB4" w14:textId="77777777" w:rsidR="0047668F" w:rsidRPr="00282C31" w:rsidRDefault="0047668F" w:rsidP="005502F4">
                  <w:pPr>
                    <w:spacing w:line="360" w:lineRule="auto"/>
                    <w:jc w:val="both"/>
                    <w:rPr>
                      <w:rFonts w:ascii="Times New Roman" w:eastAsia="Helvetica" w:hAnsi="Times New Roman" w:cs="Times New Roman"/>
                      <w:b/>
                      <w:bCs/>
                      <w:color w:val="222222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Journaliste d’investigation,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Elena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Milachina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est une défenseure des droits humains russe de renom. Elle a été prise pour cible à de nombreuses reprises du fait de son travail de dénonciation des violations des droits humains en Tchétchénie. Elle fait l'objet de menaces de mort, de manœuvres d'intimidation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,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d’agressions physiques et sa sécurité est gravement menacée. En tant que membre/sympathisante(e) d’Amnesty International, je vous demande de veiller à ce qu'Elena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Milachina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soit protégée des attaques et des manœuvres d’intimidation et puisse continuer le travail essentiel qu’elle mène en tant que journaliste et défenseure des droits humains sans 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craindre des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menaces 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ou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des représailles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.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Je demande également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qu'une enquête impartiale et efficace soit menée sans délai sur les menaces reçues par Elena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Milachina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et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Novaïa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Gazeta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et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qu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e d’autres investigations soient conduites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sur les allégations</w:t>
                  </w:r>
                  <w:r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, révélées par des journaliste,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d'arrestations illégales, d'actes de torture et d'exécutions extrajudiciaires imputées aux services de police en Tchétchénie. Dans l’attente, je vous adresse, Monsieur le Procureur général, mes respectueuses salutations.</w:t>
                  </w:r>
                </w:p>
                <w:p w14:paraId="514C6557" w14:textId="77777777" w:rsidR="0047668F" w:rsidRPr="00282C31" w:rsidRDefault="0047668F" w:rsidP="005502F4">
                  <w:pPr>
                    <w:spacing w:line="360" w:lineRule="auto"/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</w:pPr>
                </w:p>
                <w:p w14:paraId="7AD8A839" w14:textId="77777777" w:rsidR="0047668F" w:rsidRPr="00282C31" w:rsidRDefault="0047668F" w:rsidP="005502F4">
                  <w:pPr>
                    <w:spacing w:line="360" w:lineRule="auto"/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</w:pP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Procureur général de la Fédération de Russie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br/>
                    <w:t xml:space="preserve">Adresse :  Igor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Viktorovitch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Krasnov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, </w:t>
                  </w:r>
                </w:p>
                <w:p w14:paraId="64BA88F1" w14:textId="77777777" w:rsidR="0047668F" w:rsidRPr="00282C31" w:rsidRDefault="0047668F" w:rsidP="005502F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 xml:space="preserve">Bureau du Procureur général, 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br/>
                    <w:t xml:space="preserve">UI. Bolchaïa </w:t>
                  </w:r>
                  <w:proofErr w:type="spellStart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Dmitrovka</w:t>
                  </w:r>
                  <w:proofErr w:type="spellEnd"/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t>, 15a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br/>
                    <w:t>Moscou GSP-3, 125993, Fédération de Russie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br/>
                    <w:t>Fax :  +7 (495) 987-58-41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br/>
                    <w:t>Twitter :  @Genproc</w:t>
                  </w:r>
                  <w:r w:rsidRPr="00282C31">
                    <w:rPr>
                      <w:rFonts w:ascii="Times New Roman" w:eastAsia="Helvetica" w:hAnsi="Times New Roman" w:cs="Times New Roman"/>
                      <w:color w:val="222222"/>
                      <w:sz w:val="24"/>
                      <w:szCs w:val="24"/>
                      <w:bdr w:val="nil"/>
                    </w:rPr>
                    <w:br/>
                  </w:r>
                </w:p>
              </w:tc>
            </w:tr>
          </w:tbl>
          <w:p w14:paraId="090FA71A" w14:textId="77777777" w:rsidR="0047668F" w:rsidRPr="00282C31" w:rsidRDefault="0047668F" w:rsidP="005502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7E119" w14:textId="77777777" w:rsidR="00067765" w:rsidRDefault="00067765"/>
    <w:sectPr w:rsidR="000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8F"/>
    <w:rsid w:val="000448B2"/>
    <w:rsid w:val="00067765"/>
    <w:rsid w:val="004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B63B"/>
  <w15:chartTrackingRefBased/>
  <w15:docId w15:val="{C095B994-6716-4F23-970C-3C3AC0A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8F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Debord</dc:creator>
  <cp:keywords/>
  <dc:description/>
  <cp:lastModifiedBy>Josette Debord</cp:lastModifiedBy>
  <cp:revision>1</cp:revision>
  <dcterms:created xsi:type="dcterms:W3CDTF">2021-05-12T13:21:00Z</dcterms:created>
  <dcterms:modified xsi:type="dcterms:W3CDTF">2021-05-12T13:22:00Z</dcterms:modified>
</cp:coreProperties>
</file>